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51795" w14:textId="77777777" w:rsidR="00CF26A8" w:rsidRPr="00DB3D97" w:rsidRDefault="00CF26A8" w:rsidP="00CF26A8">
      <w:pPr>
        <w:pStyle w:val="Heading1"/>
        <w:spacing w:before="0"/>
      </w:pPr>
      <w:r w:rsidRPr="00DB3D97">
        <w:t>Harrys Risiko- und Schutzfaktoren</w:t>
      </w:r>
    </w:p>
    <w:p w14:paraId="7A969747" w14:textId="77777777" w:rsidR="00CF26A8" w:rsidRPr="00DB3D97" w:rsidRDefault="00CF26A8" w:rsidP="00CF26A8">
      <w:pPr>
        <w:pStyle w:val="Heading1Sub"/>
      </w:pPr>
      <w:r w:rsidRPr="00DB3D97">
        <w:t>(Beispielantworten)</w:t>
      </w:r>
    </w:p>
    <w:tbl>
      <w:tblPr>
        <w:tblW w:w="921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398"/>
      </w:tblGrid>
      <w:tr w:rsidR="00CF26A8" w:rsidRPr="00DB3D97" w14:paraId="507A5F1E" w14:textId="77777777" w:rsidTr="005551F5">
        <w:trPr>
          <w:tblHeader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17F1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6B10" w14:textId="77777777" w:rsidR="00CF26A8" w:rsidRPr="00DB3D97" w:rsidRDefault="00CF26A8" w:rsidP="005551F5">
            <w:pPr>
              <w:pStyle w:val="TableHeading"/>
            </w:pPr>
            <w:r w:rsidRPr="00DB3D97">
              <w:t>Risikofaktoren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7F1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30CA" w14:textId="77777777" w:rsidR="00CF26A8" w:rsidRPr="00DB3D97" w:rsidRDefault="00CF26A8" w:rsidP="005551F5">
            <w:pPr>
              <w:pStyle w:val="TableHeading"/>
            </w:pPr>
            <w:r w:rsidRPr="00DB3D97">
              <w:t>Schutzfaktoren</w:t>
            </w:r>
          </w:p>
        </w:tc>
      </w:tr>
      <w:tr w:rsidR="00CF26A8" w:rsidRPr="00DB3D97" w14:paraId="2048CA10" w14:textId="77777777" w:rsidTr="005551F5">
        <w:trPr>
          <w:trHeight w:val="58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14:paraId="019FE269" w14:textId="77777777" w:rsidR="00CF26A8" w:rsidRPr="00DB3D97" w:rsidRDefault="00CF26A8" w:rsidP="005551F5">
            <w:pPr>
              <w:pStyle w:val="TableListHeading"/>
            </w:pPr>
            <w:r w:rsidRPr="00DB3D97">
              <w:t>Kapitel 1:</w:t>
            </w:r>
          </w:p>
          <w:p w14:paraId="6DBD87D2" w14:textId="77777777" w:rsidR="00CF26A8" w:rsidRPr="00DB3D97" w:rsidRDefault="00CF26A8" w:rsidP="005551F5">
            <w:pPr>
              <w:pStyle w:val="TableList"/>
            </w:pPr>
            <w:r w:rsidRPr="00DB3D97">
              <w:t>Isolation von Gleichaltrigen</w:t>
            </w:r>
          </w:p>
          <w:p w14:paraId="1B106D8B" w14:textId="77777777" w:rsidR="00CF26A8" w:rsidRPr="00DB3D97" w:rsidRDefault="00CF26A8" w:rsidP="005551F5">
            <w:pPr>
              <w:pStyle w:val="TableList"/>
            </w:pPr>
            <w:r w:rsidRPr="00DB3D97">
              <w:t>„Harry erfuhr also fünf lange Wochen nichts von seinen Zaubererfreunden (…)“ (S. 8)</w:t>
            </w:r>
          </w:p>
          <w:p w14:paraId="60471BE0" w14:textId="77777777" w:rsidR="00CF26A8" w:rsidRPr="00DB3D97" w:rsidRDefault="00CF26A8" w:rsidP="005551F5">
            <w:pPr>
              <w:pStyle w:val="TableList"/>
            </w:pPr>
            <w:r w:rsidRPr="00DB3D97">
              <w:t>Vernachlässigung – Harry hat nie eine Geburtstagskarte oder ein Geschenk bekommen, geschweige denn wurde ihm Aufmerksamkeit am Geburtstag geschenkt.</w:t>
            </w:r>
          </w:p>
          <w:p w14:paraId="23054AED" w14:textId="77777777" w:rsidR="00CF26A8" w:rsidRPr="00DB3D97" w:rsidRDefault="00CF26A8" w:rsidP="005551F5">
            <w:pPr>
              <w:pStyle w:val="TableList"/>
            </w:pPr>
            <w:r w:rsidRPr="00DB3D97">
              <w:t xml:space="preserve">Physische Verletzung (Narbe) – Gefühl von Andersartigkeit </w:t>
            </w:r>
            <w:r w:rsidRPr="00DB3D97">
              <w:br/>
              <w:t>„Unter all den ungewöhnlichen Merkmalen Harrys war diese Narbe wohl das außergewöhnlichste.“ (S. 10)</w:t>
            </w:r>
          </w:p>
          <w:p w14:paraId="1D1824D1" w14:textId="77777777" w:rsidR="00CF26A8" w:rsidRPr="00DB3D97" w:rsidRDefault="00CF26A8" w:rsidP="005551F5">
            <w:pPr>
              <w:pStyle w:val="TableList"/>
            </w:pPr>
            <w:r w:rsidRPr="00DB3D97">
              <w:t>Er fühlt sich anders als seine Mitschüler, weil er seine Tante und seinen Onkel nicht dazu bringen kann, ein Erlaubnisformular für den Besuch des Dorfes Hogsmeade zu unterschreiben:</w:t>
            </w:r>
            <w:r w:rsidRPr="00DB3D97">
              <w:br/>
              <w:t>„Doch wie um alles in der Welt sollte er Onkel Vernon und Tante Petunia überreden, die Erlaubnis zu unterschreiben?“ (S. 18–19)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14:paraId="42491AAD" w14:textId="77777777" w:rsidR="00CF26A8" w:rsidRPr="00DB3D97" w:rsidRDefault="00CF26A8" w:rsidP="005551F5">
            <w:pPr>
              <w:pStyle w:val="TableListHeading"/>
            </w:pPr>
            <w:r w:rsidRPr="00DB3D97">
              <w:t>Kapitel 1:</w:t>
            </w:r>
          </w:p>
          <w:p w14:paraId="099133E5" w14:textId="77777777" w:rsidR="00CF26A8" w:rsidRPr="00DB3D97" w:rsidRDefault="00CF26A8" w:rsidP="005551F5">
            <w:pPr>
              <w:pStyle w:val="TableList"/>
            </w:pPr>
            <w:r w:rsidRPr="00DB3D97">
              <w:t>Soziale Kontakte – Geburtstagskarten und Geschenke von Ron, Hermine und Hagrid</w:t>
            </w:r>
            <w:r w:rsidRPr="00DB3D97">
              <w:br/>
              <w:t>„(…) in diesem Augenblick fühlte sich Harry Potter genau wie jeder andere – zum ersten Mal im Leben einfach froh, dass er Geburtstag hatte.“ (S. 19)</w:t>
            </w:r>
          </w:p>
          <w:p w14:paraId="228091E3" w14:textId="77777777" w:rsidR="00CF26A8" w:rsidRPr="00DB3D97" w:rsidRDefault="00CF26A8" w:rsidP="005551F5">
            <w:pPr>
              <w:pStyle w:val="TableList"/>
            </w:pPr>
            <w:r w:rsidRPr="00DB3D97">
              <w:t>Aktivitäten, die Harry Freude bereiten – Quidditch</w:t>
            </w:r>
            <w:r w:rsidRPr="00DB3D97">
              <w:br/>
              <w:t>„Zudem war Harry ein begnadeter Quidditch-Spieler; er war der Jüngste seit hundert Jahren, der für eine der Hausmannschaften von Hogwarts aufgestellt worden war. Und besonders stolz war er auf seinen Rennbesen, einen Nimbus Zweitausend.“ (S. 16)</w:t>
            </w:r>
          </w:p>
          <w:p w14:paraId="3969860F" w14:textId="77777777" w:rsidR="00CF26A8" w:rsidRPr="00DB3D97" w:rsidRDefault="00CF26A8" w:rsidP="005551F5">
            <w:pPr>
              <w:pStyle w:val="TableList"/>
            </w:pPr>
            <w:r w:rsidRPr="00DB3D97">
              <w:t>Liebevolles Haustier – Hedwig</w:t>
            </w:r>
            <w:r w:rsidRPr="00DB3D97">
              <w:br/>
              <w:t>„(…) immerhin war sie das einzige Lebewesen in diesem Haus, das bei seinem Anblick nicht zusammenschreckte.“ (S. 9)</w:t>
            </w:r>
          </w:p>
        </w:tc>
      </w:tr>
      <w:tr w:rsidR="00CF26A8" w:rsidRPr="00DB3D97" w14:paraId="48DF2CB5" w14:textId="77777777" w:rsidTr="005551F5">
        <w:trPr>
          <w:trHeight w:val="58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14:paraId="237C8EC6" w14:textId="77777777" w:rsidR="00CF26A8" w:rsidRPr="00DB3D97" w:rsidRDefault="00CF26A8" w:rsidP="005551F5">
            <w:pPr>
              <w:pStyle w:val="TableListHeading"/>
            </w:pPr>
            <w:r w:rsidRPr="00DB3D97">
              <w:t>Kapitel 2:</w:t>
            </w:r>
          </w:p>
          <w:p w14:paraId="7C7DF5ED" w14:textId="77777777" w:rsidR="00CF26A8" w:rsidRPr="00DB3D97" w:rsidRDefault="00CF26A8" w:rsidP="005551F5">
            <w:pPr>
              <w:pStyle w:val="TableList"/>
            </w:pPr>
            <w:r w:rsidRPr="00DB3D97">
              <w:t>Drohungen von Tante und Onkel, inklusive Androhung körperlicher Gewalt: „Und du bleibst bei dieser Geschichte, Bursche, oder du kriegst Schwierigkeiten!“ (S. 23)</w:t>
            </w:r>
          </w:p>
          <w:p w14:paraId="0750878D" w14:textId="77777777" w:rsidR="00CF26A8" w:rsidRPr="00DB3D97" w:rsidRDefault="00CF26A8" w:rsidP="005551F5">
            <w:pPr>
              <w:pStyle w:val="TableList"/>
            </w:pPr>
            <w:r w:rsidRPr="00DB3D97">
              <w:t xml:space="preserve">Verbale Beschimpfung/Missbrauch von Tante und Onkel: „(…) da Magda nichts von deiner Abnormität weiß, will ich nicht, dass irgendwas </w:t>
            </w:r>
            <w:r w:rsidRPr="00DB3D97">
              <w:lastRenderedPageBreak/>
              <w:t>Komisches passiert, während sie hier ist.“ (S. 22–23).</w:t>
            </w:r>
          </w:p>
          <w:p w14:paraId="376CE8D7" w14:textId="77777777" w:rsidR="00CF26A8" w:rsidRPr="00DB3D97" w:rsidRDefault="00CF26A8" w:rsidP="005551F5">
            <w:pPr>
              <w:pStyle w:val="TableList"/>
            </w:pPr>
            <w:r w:rsidRPr="00DB3D97">
              <w:t>Tante und Onkel erzählen unschöne Lügen über Harry: „(…) haben wir Magda gesagt, du würdest das St.-Brutus-Sicherheitszentrum für unheilbar kriminelle Jungen besuchen.“ (S. 23)</w:t>
            </w:r>
          </w:p>
          <w:p w14:paraId="682D57EB" w14:textId="77777777" w:rsidR="00CF26A8" w:rsidRPr="00DB3D97" w:rsidRDefault="00CF26A8" w:rsidP="005551F5">
            <w:pPr>
              <w:pStyle w:val="TableList"/>
            </w:pPr>
            <w:r w:rsidRPr="00DB3D97">
              <w:t>Todesfall – Erinnerung an den Tod der Eltern</w:t>
            </w:r>
          </w:p>
          <w:p w14:paraId="2E92CE14" w14:textId="77777777" w:rsidR="00CF26A8" w:rsidRPr="00DB3D97" w:rsidRDefault="00CF26A8" w:rsidP="005551F5">
            <w:pPr>
              <w:pStyle w:val="TableList"/>
            </w:pPr>
            <w:r w:rsidRPr="00DB3D97">
              <w:t>Obdachlosigkeit – Harry verlässt sein „Zuhause“</w:t>
            </w:r>
          </w:p>
          <w:p w14:paraId="50F8AAD5" w14:textId="77777777" w:rsidR="00CF26A8" w:rsidRPr="00DB3D97" w:rsidRDefault="00CF26A8" w:rsidP="005551F5">
            <w:pPr>
              <w:pStyle w:val="TableList"/>
            </w:pPr>
            <w:r w:rsidRPr="00DB3D97">
              <w:t>Schulische Schwierigkeiten – drohender Schulverweis</w:t>
            </w:r>
          </w:p>
          <w:p w14:paraId="6EBE97D9" w14:textId="77777777" w:rsidR="00CF26A8" w:rsidRPr="00DB3D97" w:rsidRDefault="00CF26A8" w:rsidP="005551F5">
            <w:pPr>
              <w:pStyle w:val="TableList"/>
            </w:pPr>
            <w:r w:rsidRPr="00DB3D97">
              <w:t>Rechtliche Schwierigkeiten – Zauberergesetz gebrochen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0" w:type="dxa"/>
              <w:bottom w:w="80" w:type="dxa"/>
              <w:right w:w="120" w:type="dxa"/>
            </w:tcMar>
          </w:tcPr>
          <w:p w14:paraId="20D4644F" w14:textId="77777777" w:rsidR="00CF26A8" w:rsidRPr="00DB3D97" w:rsidRDefault="00CF26A8" w:rsidP="005551F5">
            <w:pPr>
              <w:pStyle w:val="TableListHeading"/>
            </w:pPr>
            <w:r w:rsidRPr="00DB3D97">
              <w:lastRenderedPageBreak/>
              <w:t>Kapitel 2:</w:t>
            </w:r>
          </w:p>
          <w:p w14:paraId="0F18E393" w14:textId="77777777" w:rsidR="00CF26A8" w:rsidRPr="00DB3D97" w:rsidRDefault="00CF26A8" w:rsidP="005551F5">
            <w:pPr>
              <w:pStyle w:val="TableList"/>
            </w:pPr>
            <w:r w:rsidRPr="00DB3D97">
              <w:t>Aktivitäten, die Harry Freude bereiten – die anfängliche Aufregung, als er glaubt, einen Weg gefunden zu haben, seinen Onkel dazu zu bringen, das Formular zu unterschreiben, das ihm den Besuch von Hogsmeade erlaubt.</w:t>
            </w:r>
          </w:p>
        </w:tc>
      </w:tr>
    </w:tbl>
    <w:p w14:paraId="2A95D122" w14:textId="77777777" w:rsidR="006D3506" w:rsidRDefault="006D3506" w:rsidP="00CF26A8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420E" w14:textId="77777777" w:rsidR="002252BD" w:rsidRDefault="002252BD" w:rsidP="0068261E">
      <w:r>
        <w:separator/>
      </w:r>
    </w:p>
  </w:endnote>
  <w:endnote w:type="continuationSeparator" w:id="0">
    <w:p w14:paraId="4DA20970" w14:textId="77777777" w:rsidR="002252BD" w:rsidRDefault="002252BD" w:rsidP="006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6142157-3A1A-4BA8-8F2A-4E38CDF7DC63}"/>
    <w:embedBold r:id="rId2" w:fontKey="{F21909D8-5534-498C-8E2D-4B7808E61C12}"/>
    <w:embedItalic r:id="rId3" w:fontKey="{BB1BBA00-9DF1-472C-9AE5-2AA621736863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BDD79AA5-5375-4B73-B438-B2A5C4275B51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5" w:subsetted="1" w:fontKey="{EB68ECC7-8406-4F76-A056-8B8A607E63E3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71CC" w14:textId="77777777" w:rsidR="002252BD" w:rsidRDefault="002252BD" w:rsidP="0068261E">
      <w:r>
        <w:separator/>
      </w:r>
    </w:p>
  </w:footnote>
  <w:footnote w:type="continuationSeparator" w:id="0">
    <w:p w14:paraId="632F91CF" w14:textId="77777777" w:rsidR="002252BD" w:rsidRDefault="002252BD" w:rsidP="0068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3118653">
    <w:abstractNumId w:val="6"/>
  </w:num>
  <w:num w:numId="2" w16cid:durableId="1591233003">
    <w:abstractNumId w:val="2"/>
  </w:num>
  <w:num w:numId="3" w16cid:durableId="1937862979">
    <w:abstractNumId w:val="1"/>
  </w:num>
  <w:num w:numId="4" w16cid:durableId="1525827941">
    <w:abstractNumId w:val="0"/>
  </w:num>
  <w:num w:numId="5" w16cid:durableId="1628733036">
    <w:abstractNumId w:val="3"/>
  </w:num>
  <w:num w:numId="6" w16cid:durableId="1495074756">
    <w:abstractNumId w:val="4"/>
  </w:num>
  <w:num w:numId="7" w16cid:durableId="209541713">
    <w:abstractNumId w:val="5"/>
  </w:num>
  <w:num w:numId="8" w16cid:durableId="319620883">
    <w:abstractNumId w:val="6"/>
  </w:num>
  <w:num w:numId="9" w16cid:durableId="226956692">
    <w:abstractNumId w:val="2"/>
  </w:num>
  <w:num w:numId="10" w16cid:durableId="115370468">
    <w:abstractNumId w:val="1"/>
  </w:num>
  <w:num w:numId="11" w16cid:durableId="361826564">
    <w:abstractNumId w:val="0"/>
  </w:num>
  <w:num w:numId="12" w16cid:durableId="366031750">
    <w:abstractNumId w:val="3"/>
  </w:num>
  <w:num w:numId="13" w16cid:durableId="1744796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8"/>
    <w:rsid w:val="000B0223"/>
    <w:rsid w:val="0015405A"/>
    <w:rsid w:val="00223797"/>
    <w:rsid w:val="002252BD"/>
    <w:rsid w:val="00233DB1"/>
    <w:rsid w:val="002F3F56"/>
    <w:rsid w:val="003C7E9F"/>
    <w:rsid w:val="00413F7F"/>
    <w:rsid w:val="004C466D"/>
    <w:rsid w:val="005C27E4"/>
    <w:rsid w:val="00601D1C"/>
    <w:rsid w:val="0068261E"/>
    <w:rsid w:val="006946D5"/>
    <w:rsid w:val="006D3506"/>
    <w:rsid w:val="00725B73"/>
    <w:rsid w:val="00754804"/>
    <w:rsid w:val="007B7274"/>
    <w:rsid w:val="007E3E4D"/>
    <w:rsid w:val="00B1372E"/>
    <w:rsid w:val="00B274FF"/>
    <w:rsid w:val="00C47E13"/>
    <w:rsid w:val="00C629B6"/>
    <w:rsid w:val="00CF26A8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3AD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6A8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6A8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F26A8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6A8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6A8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6A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6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6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6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6A8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ableList">
    <w:name w:val="Table List"/>
    <w:basedOn w:val="TableContent"/>
    <w:uiPriority w:val="39"/>
    <w:qFormat/>
    <w:rsid w:val="00CF26A8"/>
    <w:pPr>
      <w:numPr>
        <w:numId w:val="8"/>
      </w:numPr>
      <w:contextualSpacing/>
    </w:pPr>
  </w:style>
  <w:style w:type="paragraph" w:customStyle="1" w:styleId="TableHeading">
    <w:name w:val="Table Heading"/>
    <w:basedOn w:val="Normal"/>
    <w:uiPriority w:val="39"/>
    <w:qFormat/>
    <w:rsid w:val="00CF26A8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CF26A8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CF26A8"/>
    <w:pPr>
      <w:spacing w:after="360" w:line="288" w:lineRule="auto"/>
      <w:jc w:val="center"/>
    </w:pPr>
  </w:style>
  <w:style w:type="paragraph" w:customStyle="1" w:styleId="TitleMain">
    <w:name w:val="Title (Main)"/>
    <w:basedOn w:val="Heading1"/>
    <w:next w:val="Normal"/>
    <w:uiPriority w:val="96"/>
    <w:qFormat/>
    <w:rsid w:val="00CF26A8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extbody">
    <w:name w:val="Text body"/>
    <w:basedOn w:val="Normal"/>
    <w:qFormat/>
    <w:rsid w:val="00CF26A8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CF26A8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ListParagraphNumbered">
    <w:name w:val="List Paragraph Numbered"/>
    <w:basedOn w:val="ListParagraph"/>
    <w:uiPriority w:val="34"/>
    <w:qFormat/>
    <w:rsid w:val="00CF26A8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CF26A8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CF26A8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CF26A8"/>
    <w:pPr>
      <w:numPr>
        <w:numId w:val="10"/>
      </w:numPr>
    </w:pPr>
  </w:style>
  <w:style w:type="paragraph" w:customStyle="1" w:styleId="Liniert">
    <w:name w:val="Liniert"/>
    <w:basedOn w:val="Textbody"/>
    <w:qFormat/>
    <w:rsid w:val="00CF26A8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CF26A8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CF26A8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CF26A8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CF26A8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CF26A8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CF26A8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CF26A8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F26A8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6A8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6A8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6A8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6A8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6A8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6A8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CF26A8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CF26A8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CF26A8"/>
    <w:rPr>
      <w:b/>
      <w:bCs/>
    </w:rPr>
  </w:style>
  <w:style w:type="character" w:styleId="Emphasis">
    <w:name w:val="Emphasis"/>
    <w:uiPriority w:val="20"/>
    <w:qFormat/>
    <w:rsid w:val="00CF26A8"/>
    <w:rPr>
      <w:i/>
      <w:iCs/>
    </w:rPr>
  </w:style>
  <w:style w:type="character" w:styleId="IntenseEmphasis">
    <w:name w:val="Intense Emphasis"/>
    <w:basedOn w:val="Strong"/>
    <w:uiPriority w:val="21"/>
    <w:qFormat/>
    <w:rsid w:val="00CF26A8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26A8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826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61E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826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61E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2024-06-17T12:28:00Z</dcterms:created>
  <dcterms:modified xsi:type="dcterms:W3CDTF">2024-06-17T12:28:00Z</dcterms:modified>
</cp:coreProperties>
</file>