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8316" w14:textId="77777777" w:rsidR="00E619BD" w:rsidRPr="00AE4372" w:rsidRDefault="00E619BD" w:rsidP="00E619BD">
      <w:pPr>
        <w:pStyle w:val="TitleMain"/>
      </w:pPr>
      <w:r w:rsidRPr="00AE4372">
        <w:drawing>
          <wp:anchor distT="0" distB="0" distL="114300" distR="114300" simplePos="0" relativeHeight="251659264" behindDoc="0" locked="0" layoutInCell="1" allowOverlap="1" wp14:anchorId="217FA213" wp14:editId="38796A46">
            <wp:simplePos x="0" y="0"/>
            <wp:positionH relativeFrom="margin">
              <wp:align>left</wp:align>
            </wp:positionH>
            <wp:positionV relativeFrom="paragraph">
              <wp:posOffset>0</wp:posOffset>
            </wp:positionV>
            <wp:extent cx="1190625" cy="1534795"/>
            <wp:effectExtent l="0" t="0" r="9525" b="8255"/>
            <wp:wrapSquare wrapText="right"/>
            <wp:docPr id="2486872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a:lum/>
                      <a:alphaModFix/>
                    </a:blip>
                    <a:srcRect/>
                    <a:stretch>
                      <a:fillRect/>
                    </a:stretch>
                  </pic:blipFill>
                  <pic:spPr>
                    <a:xfrm>
                      <a:off x="0" y="0"/>
                      <a:ext cx="1190625" cy="1534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AE4372">
        <w:t>Einheit 10 – Kapitel 17–20</w:t>
      </w:r>
    </w:p>
    <w:p w14:paraId="666FC17A" w14:textId="77777777" w:rsidR="00E619BD" w:rsidRPr="00AE4372" w:rsidRDefault="00E619BD" w:rsidP="00E619BD">
      <w:pPr>
        <w:pStyle w:val="Title"/>
        <w:rPr>
          <w:noProof w:val="0"/>
        </w:rPr>
      </w:pPr>
      <w:r w:rsidRPr="00AE4372">
        <mc:AlternateContent>
          <mc:Choice Requires="wps">
            <w:drawing>
              <wp:anchor distT="0" distB="0" distL="114300" distR="114300" simplePos="0" relativeHeight="251660288" behindDoc="0" locked="0" layoutInCell="1" allowOverlap="1" wp14:anchorId="24EEE230" wp14:editId="7B680E58">
                <wp:simplePos x="0" y="0"/>
                <wp:positionH relativeFrom="character">
                  <wp:align>left</wp:align>
                </wp:positionH>
                <wp:positionV relativeFrom="paragraph">
                  <wp:posOffset>360045</wp:posOffset>
                </wp:positionV>
                <wp:extent cx="3531600" cy="0"/>
                <wp:effectExtent l="0" t="0" r="0" b="0"/>
                <wp:wrapNone/>
                <wp:docPr id="160394567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31600" cy="0"/>
                        </a:xfrm>
                        <a:prstGeom prst="line">
                          <a:avLst/>
                        </a:prstGeom>
                        <a:noFill/>
                        <a:ln w="12618" cap="flat">
                          <a:solidFill>
                            <a:schemeClr val="accent1"/>
                          </a:solidFill>
                          <a:prstDash val="solid"/>
                          <a:miter/>
                        </a:ln>
                      </wps:spPr>
                      <wps:bodyPr/>
                    </wps:wsp>
                  </a:graphicData>
                </a:graphic>
                <wp14:sizeRelH relativeFrom="margin">
                  <wp14:pctWidth>0</wp14:pctWidth>
                </wp14:sizeRelH>
              </wp:anchor>
            </w:drawing>
          </mc:Choice>
          <mc:Fallback>
            <w:pict>
              <v:line w14:anchorId="7B851F47" id="Straight Connector 4" o:spid="_x0000_s1026" alt="&quot;&quot;" style="position:absolute;z-index:251660288;visibility:visible;mso-wrap-style:square;mso-width-percent:0;mso-wrap-distance-left:9pt;mso-wrap-distance-top:0;mso-wrap-distance-right:9pt;mso-wrap-distance-bottom:0;mso-position-horizontal:left;mso-position-horizontal-relative:char;mso-position-vertical:absolute;mso-position-vertical-relative:text;mso-width-percent:0;mso-width-relative:margin" from="0,28.35pt" to="278.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" strokecolor="#b17f1d [3204]" strokeweight=".3505mm">
                <v:stroke joinstyle="miter"/>
              </v:line>
            </w:pict>
          </mc:Fallback>
        </mc:AlternateContent>
      </w:r>
      <w:r w:rsidRPr="00AE4372">
        <w:rPr>
          <w:noProof w:val="0"/>
        </w:rPr>
        <w:t>Der Schein kann trügen</w:t>
      </w:r>
    </w:p>
    <w:p w14:paraId="685E4108" w14:textId="77777777" w:rsidR="00E619BD" w:rsidRPr="00AE4372" w:rsidRDefault="00E619BD" w:rsidP="009E7402">
      <w:pPr>
        <w:pStyle w:val="Subtitle"/>
        <w:rPr>
          <w:rStyle w:val="Strong"/>
        </w:rPr>
      </w:pPr>
      <w:r w:rsidRPr="009E7402">
        <w:rPr>
          <w:rStyle w:val="Strong"/>
          <w:b/>
          <w:bCs/>
        </w:rPr>
        <w:t>Grundüberzeugungen</w:t>
      </w:r>
    </w:p>
    <w:p w14:paraId="02F1B656" w14:textId="289E2FB3" w:rsidR="00E619BD" w:rsidRPr="009E7402" w:rsidRDefault="00E619BD" w:rsidP="009E7402">
      <w:pPr>
        <w:pStyle w:val="Subsubtitle"/>
      </w:pPr>
      <w:r w:rsidRPr="009E7402">
        <w:rPr>
          <w:rStyle w:val="Emphasis"/>
          <w:i w:val="0"/>
          <w:iCs w:val="0"/>
        </w:rPr>
        <w:t>Vorgeschlagene Dauer:</w:t>
      </w:r>
      <w:r w:rsidR="009E7402">
        <w:rPr>
          <w:rStyle w:val="Emphasis"/>
          <w:i w:val="0"/>
          <w:iCs w:val="0"/>
        </w:rPr>
        <w:tab/>
        <w:t xml:space="preserve">1–2 </w:t>
      </w:r>
      <w:r w:rsidRPr="009E7402">
        <w:t>Schulstunden</w:t>
      </w:r>
    </w:p>
    <w:p w14:paraId="4E9B5479" w14:textId="77777777" w:rsidR="00E619BD" w:rsidRPr="00AE4372" w:rsidRDefault="00E619BD" w:rsidP="00E619BD">
      <w:pPr>
        <w:pStyle w:val="Heading2"/>
      </w:pPr>
      <w:r w:rsidRPr="00AE4372">
        <w:t>Ziele der Einheit</w:t>
      </w:r>
    </w:p>
    <w:p w14:paraId="38047D66" w14:textId="5AFDB444" w:rsidR="00E619BD" w:rsidRPr="00AE4372" w:rsidRDefault="00E619BD" w:rsidP="00E619BD">
      <w:pPr>
        <w:pStyle w:val="Textbody"/>
      </w:pPr>
      <w:r w:rsidRPr="00AE4372">
        <w:t xml:space="preserve">Überprüfen Sie das Konzept der automatischen Gedanken, die Wichtigkeit, alle Beweise zu betrachten und die Vorstellung, dass </w:t>
      </w:r>
      <w:r w:rsidR="00F2740F">
        <w:t>„</w:t>
      </w:r>
      <w:r w:rsidRPr="00AE4372">
        <w:t>Gedanken nur Ideen</w:t>
      </w:r>
      <w:r w:rsidR="00F2740F">
        <w:t>“</w:t>
      </w:r>
      <w:r w:rsidRPr="00AE4372">
        <w:t xml:space="preserve"> sind und möglicherweise nicht richtig sind.</w:t>
      </w:r>
    </w:p>
    <w:p w14:paraId="1F4B8AEC" w14:textId="77777777" w:rsidR="00E619BD" w:rsidRPr="00AE4372" w:rsidRDefault="00E619BD" w:rsidP="00E619BD">
      <w:pPr>
        <w:pStyle w:val="Textbody"/>
      </w:pPr>
      <w:r w:rsidRPr="00AE4372">
        <w:t xml:space="preserve">Definieren Sie Grundüberzeugungen und </w:t>
      </w:r>
      <w:r w:rsidRPr="00A66D86">
        <w:t>verstehen</w:t>
      </w:r>
      <w:r w:rsidRPr="00AE4372">
        <w:t xml:space="preserve"> Sie, wie diese mit automatischen Gedanken zusammenhängen, wobei der Schwerpunkt darauf liegt, wie dies bei Harry funktioniert. Grundüberzeugungen - tief verwurzelte Ideen, Philosophien, Annahmen; organisierende Ideen über sich selbst, andere und die Zukunft, sind zentral für unser Glaubenssystem und werden in der Regel in der Kindheit entwickelt.</w:t>
      </w:r>
    </w:p>
    <w:p w14:paraId="301D438C" w14:textId="77777777" w:rsidR="00E619BD" w:rsidRPr="00AE4372" w:rsidRDefault="00E619BD" w:rsidP="00E619BD">
      <w:pPr>
        <w:pStyle w:val="Textbody"/>
      </w:pPr>
      <w:r w:rsidRPr="00AE4372">
        <w:t>Beachten Sie, dass wir im Rahmen dieses Lehrplans nicht auf die sich entwickelnden Grundüberzeugungen der Schüler*innen eingehen werden, sondern dass ein Teil des Ziels des Erlernens von KVT-Fähigkeiten darin besteht, den Schüler*innen Werkzeuge an die Hand zu geben, mit denen sie ihre eigenen Denkfehler reflektieren und bearbeiten können, um die Entwicklung negativer Grundüberzeugungen zu vermeiden.</w:t>
      </w:r>
    </w:p>
    <w:p w14:paraId="6DB51418" w14:textId="77777777" w:rsidR="00E619BD" w:rsidRPr="00AE4372" w:rsidRDefault="00E619BD" w:rsidP="00E619BD">
      <w:pPr>
        <w:pStyle w:val="Heading2"/>
      </w:pPr>
      <w:r w:rsidRPr="00AE4372">
        <w:t>Zusammenfassung von Aufgaben/Aktivitäten</w:t>
      </w:r>
    </w:p>
    <w:p w14:paraId="56D0CC70" w14:textId="77777777" w:rsidR="00E619BD" w:rsidRPr="00AE4372" w:rsidRDefault="00E619BD" w:rsidP="00E619BD">
      <w:pPr>
        <w:pStyle w:val="Heading3"/>
      </w:pPr>
      <w:r w:rsidRPr="00AE4372">
        <w:t>Vorgeschlagene Aktivitäten / Planung der Lektion</w:t>
      </w:r>
    </w:p>
    <w:p w14:paraId="233FB7EF" w14:textId="77777777" w:rsidR="00E619BD" w:rsidRPr="00AE4372" w:rsidRDefault="00E619BD" w:rsidP="00E619BD">
      <w:pPr>
        <w:pStyle w:val="Textbody"/>
      </w:pPr>
      <w:r w:rsidRPr="00AE4372">
        <w:t>Die Schüler*innen haben bis Kapitel 20 des Romans gelesen (Möglichkeit zur Ergänzung durch Filmausschnitte).</w:t>
      </w:r>
    </w:p>
    <w:p w14:paraId="5E801E18" w14:textId="77777777" w:rsidR="00E619BD" w:rsidRPr="00AE4372" w:rsidRDefault="00E619BD" w:rsidP="00E619BD">
      <w:pPr>
        <w:pStyle w:val="Heading4"/>
      </w:pPr>
      <w:r w:rsidRPr="00AE4372">
        <w:t>Mini-Exkurs:</w:t>
      </w:r>
    </w:p>
    <w:p w14:paraId="740F697D" w14:textId="77777777" w:rsidR="00E619BD" w:rsidRPr="00AE4372" w:rsidRDefault="00E619BD" w:rsidP="00E619BD">
      <w:pPr>
        <w:pStyle w:val="TableListHeading"/>
      </w:pPr>
      <w:r w:rsidRPr="00AE4372">
        <w:t>Grundüberzeugungen (Schwerpunkt auf Harry und wie sich seine Grundüberzeugungen im Laufe des Buches entwickelt haben).</w:t>
      </w:r>
    </w:p>
    <w:p w14:paraId="0E4EDA66" w14:textId="77777777" w:rsidR="00E619BD" w:rsidRPr="00AE4372" w:rsidRDefault="00E619BD" w:rsidP="00E619BD">
      <w:pPr>
        <w:pStyle w:val="TableList"/>
        <w:numPr>
          <w:ilvl w:val="0"/>
          <w:numId w:val="1"/>
        </w:numPr>
      </w:pPr>
      <w:r w:rsidRPr="00AE4372">
        <w:t>Tiefsitzende Ideen, Philosophien und Annahmen;</w:t>
      </w:r>
    </w:p>
    <w:p w14:paraId="021D2372" w14:textId="77777777" w:rsidR="00E619BD" w:rsidRPr="00AE4372" w:rsidRDefault="00E619BD" w:rsidP="00E619BD">
      <w:pPr>
        <w:pStyle w:val="TableList"/>
        <w:numPr>
          <w:ilvl w:val="0"/>
          <w:numId w:val="1"/>
        </w:numPr>
      </w:pPr>
      <w:r w:rsidRPr="00AE4372">
        <w:t>Überzeugungen können sich auf uns selbst, andere und die Zukunft beziehen;</w:t>
      </w:r>
    </w:p>
    <w:p w14:paraId="32E57C38" w14:textId="77777777" w:rsidR="00E619BD" w:rsidRPr="00AE4372" w:rsidRDefault="00E619BD" w:rsidP="00E619BD">
      <w:pPr>
        <w:pStyle w:val="TableList"/>
        <w:numPr>
          <w:ilvl w:val="0"/>
          <w:numId w:val="1"/>
        </w:numPr>
      </w:pPr>
      <w:r w:rsidRPr="00AE4372">
        <w:t>Zentral für unser Glaubenssystem;</w:t>
      </w:r>
    </w:p>
    <w:p w14:paraId="28DB45D7" w14:textId="77777777" w:rsidR="00E619BD" w:rsidRPr="00AE4372" w:rsidRDefault="00E619BD" w:rsidP="00E619BD">
      <w:pPr>
        <w:pStyle w:val="TableList"/>
        <w:numPr>
          <w:ilvl w:val="0"/>
          <w:numId w:val="1"/>
        </w:numPr>
      </w:pPr>
      <w:r w:rsidRPr="00AE4372">
        <w:t>entwickelt in der Kindheit bis ins frühe Erwachsenenalter;</w:t>
      </w:r>
    </w:p>
    <w:p w14:paraId="7F131D3F" w14:textId="77777777" w:rsidR="00E619BD" w:rsidRPr="00AE4372" w:rsidRDefault="00E619BD" w:rsidP="00E619BD">
      <w:pPr>
        <w:pStyle w:val="TableList"/>
        <w:numPr>
          <w:ilvl w:val="0"/>
          <w:numId w:val="1"/>
        </w:numPr>
      </w:pPr>
      <w:r w:rsidRPr="00AE4372">
        <w:t>untermauern automatische Gedanken und helfen diese zu produzieren;</w:t>
      </w:r>
    </w:p>
    <w:p w14:paraId="1B55F96B" w14:textId="77777777" w:rsidR="00E619BD" w:rsidRPr="00AE4372" w:rsidRDefault="00E619BD" w:rsidP="00E619BD">
      <w:pPr>
        <w:pStyle w:val="TableList"/>
        <w:numPr>
          <w:ilvl w:val="0"/>
          <w:numId w:val="1"/>
        </w:numPr>
      </w:pPr>
      <w:r w:rsidRPr="00AE4372">
        <w:t>bleiben inaktiv, bis sie durch Stress und/oder schwierige Lebensereignisse aktiviert werden.</w:t>
      </w:r>
    </w:p>
    <w:p w14:paraId="4C4E3757" w14:textId="77777777" w:rsidR="00E619BD" w:rsidRPr="00AE4372" w:rsidRDefault="00E619BD" w:rsidP="00E619BD">
      <w:pPr>
        <w:pStyle w:val="Heading4"/>
        <w:rPr>
          <w:rStyle w:val="Strong"/>
          <w:b w:val="0"/>
          <w:bCs w:val="0"/>
        </w:rPr>
      </w:pPr>
      <w:r w:rsidRPr="00AE4372">
        <w:lastRenderedPageBreak/>
        <w:t>Aktivität:</w:t>
      </w:r>
    </w:p>
    <w:p w14:paraId="6FADEAA8" w14:textId="38C44653" w:rsidR="00E619BD" w:rsidRPr="00AE4372" w:rsidRDefault="00E619BD" w:rsidP="00E619BD">
      <w:pPr>
        <w:pStyle w:val="Textbody"/>
      </w:pPr>
      <w:r w:rsidRPr="00AE4372">
        <w:t>Diskutiert in 4er-Gruppen, was ihr als Harry Potters Grundüberzeugungen anseht. Denkt darüber nach, wie er über sich selbst denkt. Was hält er für absolut wahr über sich selbst? Beachtet, dass Harry auch positive Glaubenssätze hat, die zu seiner Widerstandsfähigkeit beitragen (</w:t>
      </w:r>
      <w:r w:rsidR="00F2740F">
        <w:t>„</w:t>
      </w:r>
      <w:r w:rsidRPr="00AE4372">
        <w:t>Ich bin gut in Sport/Quidditch</w:t>
      </w:r>
      <w:r w:rsidR="00F2740F">
        <w:t>“</w:t>
      </w:r>
      <w:r w:rsidRPr="00AE4372">
        <w:t xml:space="preserve">, </w:t>
      </w:r>
      <w:r w:rsidR="00F2740F">
        <w:t>„</w:t>
      </w:r>
      <w:r w:rsidRPr="00AE4372">
        <w:t>Ich bin in Hogwarts sicher</w:t>
      </w:r>
      <w:r w:rsidR="00F2740F">
        <w:t>“</w:t>
      </w:r>
      <w:r w:rsidRPr="00AE4372">
        <w:t>).</w:t>
      </w:r>
    </w:p>
    <w:p w14:paraId="7E101801" w14:textId="77777777" w:rsidR="00E619BD" w:rsidRPr="00AE4372" w:rsidRDefault="00E619BD" w:rsidP="00E619BD">
      <w:pPr>
        <w:pStyle w:val="Textbody"/>
      </w:pPr>
      <w:r w:rsidRPr="00AE4372">
        <w:t>Die Schüler*innen erhalten Papier und Stifte, um Notizen zu Harrys Grundüberzeugungen für sich selbst zu machen. Weisen Sie die Schüler*innen an, konkrete Beispiele/Seitenzahlen aus dem Text zu nennen. Am Ende der Übung tauschen die Schüler*innen sich über ihre Ergebnisse aus.</w:t>
      </w:r>
    </w:p>
    <w:p w14:paraId="4A75CAA2" w14:textId="77777777" w:rsidR="00E619BD" w:rsidRPr="00AE4372" w:rsidRDefault="00E619BD" w:rsidP="00E619BD">
      <w:pPr>
        <w:pStyle w:val="Textbody"/>
      </w:pPr>
      <w:r w:rsidRPr="00AE4372">
        <w:t>Nachbereitung: Die Schüler*innen können das Arbeitsblatt zur Gruppendiskussion konsolidieren und selbstständig ausfüllen.</w:t>
      </w:r>
    </w:p>
    <w:p w14:paraId="23EB94D3" w14:textId="77777777" w:rsidR="00E619BD" w:rsidRPr="00AE4372" w:rsidRDefault="00E619BD" w:rsidP="00E619BD">
      <w:pPr>
        <w:pStyle w:val="Heading2"/>
      </w:pPr>
      <w:r w:rsidRPr="00AE4372">
        <w:t>Materialien/Equipment</w:t>
      </w:r>
    </w:p>
    <w:p w14:paraId="1FB932AE" w14:textId="77777777" w:rsidR="00E619BD" w:rsidRPr="00AE4372" w:rsidRDefault="00E619BD" w:rsidP="00E619BD">
      <w:pPr>
        <w:pStyle w:val="TableListHeading"/>
      </w:pPr>
      <w:r w:rsidRPr="00AE4372">
        <w:t xml:space="preserve">Erforderlich: </w:t>
      </w:r>
    </w:p>
    <w:p w14:paraId="1ED9F064" w14:textId="445FDFDE" w:rsidR="00E619BD" w:rsidRPr="00AE4372" w:rsidRDefault="00485941" w:rsidP="00E619BD">
      <w:pPr>
        <w:pStyle w:val="TableList"/>
        <w:numPr>
          <w:ilvl w:val="0"/>
          <w:numId w:val="1"/>
        </w:numPr>
      </w:pPr>
      <w:r>
        <w:t>Exemplare des Buches</w:t>
      </w:r>
    </w:p>
    <w:p w14:paraId="29E7E221" w14:textId="77777777" w:rsidR="00E619BD" w:rsidRPr="00AE4372" w:rsidRDefault="00E619BD" w:rsidP="00E619BD">
      <w:pPr>
        <w:pStyle w:val="TableList"/>
        <w:numPr>
          <w:ilvl w:val="0"/>
          <w:numId w:val="1"/>
        </w:numPr>
      </w:pPr>
      <w:r w:rsidRPr="00AE4372">
        <w:t xml:space="preserve">Handouts (elektronisch oder in Papierform; siehe Anhang) </w:t>
      </w:r>
    </w:p>
    <w:p w14:paraId="3FDACF80" w14:textId="77777777" w:rsidR="00E619BD" w:rsidRPr="00AE4372" w:rsidRDefault="00E619BD" w:rsidP="00E619BD">
      <w:pPr>
        <w:pStyle w:val="TableListHeading"/>
      </w:pPr>
      <w:r w:rsidRPr="00AE4372">
        <w:t xml:space="preserve">Optional: </w:t>
      </w:r>
    </w:p>
    <w:p w14:paraId="48572E3A" w14:textId="77777777" w:rsidR="00E619BD" w:rsidRPr="00AE4372" w:rsidRDefault="00E619BD" w:rsidP="00E619BD">
      <w:pPr>
        <w:pStyle w:val="TableList"/>
        <w:numPr>
          <w:ilvl w:val="0"/>
          <w:numId w:val="1"/>
        </w:numPr>
      </w:pPr>
      <w:r w:rsidRPr="00AE4372">
        <w:t>Audioversionen vom Text</w:t>
      </w:r>
    </w:p>
    <w:p w14:paraId="539540E9" w14:textId="77777777" w:rsidR="00E619BD" w:rsidRPr="00AE4372" w:rsidRDefault="00E619BD" w:rsidP="00E619BD">
      <w:pPr>
        <w:pStyle w:val="TableList"/>
        <w:numPr>
          <w:ilvl w:val="0"/>
          <w:numId w:val="1"/>
        </w:numPr>
      </w:pPr>
      <w:r w:rsidRPr="00AE4372">
        <w:t xml:space="preserve">Ausschnitte vom Film </w:t>
      </w:r>
    </w:p>
    <w:p w14:paraId="1FE7FC52" w14:textId="77777777" w:rsidR="00E619BD" w:rsidRPr="00AE4372" w:rsidRDefault="00E619BD" w:rsidP="00E619BD">
      <w:pPr>
        <w:pStyle w:val="TableListHeading"/>
      </w:pPr>
      <w:r w:rsidRPr="00AE4372">
        <w:t xml:space="preserve">Empfehlung beim Einsatz vom Film: </w:t>
      </w:r>
    </w:p>
    <w:p w14:paraId="21C788D1" w14:textId="77777777" w:rsidR="00E619BD" w:rsidRDefault="00E619BD" w:rsidP="00E619BD">
      <w:pPr>
        <w:pStyle w:val="TableList"/>
        <w:numPr>
          <w:ilvl w:val="0"/>
          <w:numId w:val="1"/>
        </w:numPr>
      </w:pPr>
      <w:r w:rsidRPr="00AE4372">
        <w:t>Kapitel 17 (Kater, Ratte, Hund)</w:t>
      </w:r>
    </w:p>
    <w:p w14:paraId="7ED88826" w14:textId="77777777" w:rsidR="00E619BD" w:rsidRPr="00AE4372" w:rsidRDefault="00E619BD" w:rsidP="00E619BD">
      <w:pPr>
        <w:pStyle w:val="TableList"/>
        <w:numPr>
          <w:ilvl w:val="1"/>
          <w:numId w:val="1"/>
        </w:numPr>
      </w:pPr>
      <w:r w:rsidRPr="00AE4372">
        <w:t>Filmausschnitt von Minute 1:27:38 bis 1:32:54</w:t>
      </w:r>
    </w:p>
    <w:p w14:paraId="53EC0BEB" w14:textId="77777777" w:rsidR="00E619BD" w:rsidRDefault="00E619BD" w:rsidP="00E619BD">
      <w:pPr>
        <w:pStyle w:val="TableList"/>
        <w:numPr>
          <w:ilvl w:val="0"/>
          <w:numId w:val="1"/>
        </w:numPr>
      </w:pPr>
      <w:r w:rsidRPr="00AE4372">
        <w:t>Kapitel 18 (Vier Freunde)</w:t>
      </w:r>
    </w:p>
    <w:p w14:paraId="219228CA" w14:textId="77777777" w:rsidR="00E619BD" w:rsidRPr="00AE4372" w:rsidRDefault="00E619BD" w:rsidP="00E619BD">
      <w:pPr>
        <w:pStyle w:val="TableList"/>
        <w:numPr>
          <w:ilvl w:val="1"/>
          <w:numId w:val="1"/>
        </w:numPr>
      </w:pPr>
      <w:r w:rsidRPr="00AE4372">
        <w:t>komplett lesen</w:t>
      </w:r>
    </w:p>
    <w:p w14:paraId="7F338EDE" w14:textId="77777777" w:rsidR="00E619BD" w:rsidRDefault="00E619BD" w:rsidP="00E619BD">
      <w:pPr>
        <w:pStyle w:val="TableList"/>
        <w:numPr>
          <w:ilvl w:val="0"/>
          <w:numId w:val="1"/>
        </w:numPr>
      </w:pPr>
      <w:r w:rsidRPr="00AE4372">
        <w:t>Kapitel 19 (Lord Voldemorts Knecht)</w:t>
      </w:r>
    </w:p>
    <w:p w14:paraId="77FCD168" w14:textId="77777777" w:rsidR="00E619BD" w:rsidRPr="00AE4372" w:rsidRDefault="00E619BD" w:rsidP="00E619BD">
      <w:pPr>
        <w:pStyle w:val="TableList"/>
        <w:numPr>
          <w:ilvl w:val="1"/>
          <w:numId w:val="1"/>
        </w:numPr>
      </w:pPr>
      <w:r w:rsidRPr="00AE4372">
        <w:t>Filmausschnitt von Minute 1:33:01 bis 1:36:55</w:t>
      </w:r>
    </w:p>
    <w:p w14:paraId="38FA7F3D" w14:textId="77777777" w:rsidR="00E619BD" w:rsidRDefault="00E619BD" w:rsidP="00E619BD">
      <w:pPr>
        <w:pStyle w:val="TableList"/>
        <w:numPr>
          <w:ilvl w:val="0"/>
          <w:numId w:val="1"/>
        </w:numPr>
      </w:pPr>
      <w:r w:rsidRPr="00AE4372">
        <w:t>Kapitel 20 (Der Kuss des Dementors)</w:t>
      </w:r>
    </w:p>
    <w:p w14:paraId="7CF015C2" w14:textId="77777777" w:rsidR="00E619BD" w:rsidRPr="00A66D86" w:rsidRDefault="00E619BD" w:rsidP="00E619BD">
      <w:pPr>
        <w:pStyle w:val="TableList"/>
        <w:numPr>
          <w:ilvl w:val="1"/>
          <w:numId w:val="1"/>
        </w:numPr>
      </w:pPr>
      <w:r w:rsidRPr="00AE4372">
        <w:t>komplett lesen</w:t>
      </w:r>
    </w:p>
    <w:sectPr w:rsidR="00E619BD" w:rsidRPr="00A66D8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F414B" w14:textId="77777777" w:rsidR="00F621E5" w:rsidRDefault="00F621E5" w:rsidP="00AA6FF5">
      <w:r>
        <w:separator/>
      </w:r>
    </w:p>
  </w:endnote>
  <w:endnote w:type="continuationSeparator" w:id="0">
    <w:p w14:paraId="09216CDD" w14:textId="77777777" w:rsidR="00F621E5" w:rsidRDefault="00F621E5" w:rsidP="00AA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8DEFCE6C-6BD2-4E26-B98C-3301DAAA1CB5}"/>
    <w:embedBold r:id="rId2" w:fontKey="{8925F237-FC74-4A1D-BC5E-66D466CAD7B3}"/>
    <w:embedItalic r:id="rId3" w:fontKey="{7A2715E4-9DDA-426C-9E4D-7FB4F7823DA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FABE4FAE-0B0A-423A-BAD2-D0417717F313}"/>
  </w:font>
  <w:font w:name="Lato">
    <w:panose1 w:val="020F0502020204030203"/>
    <w:charset w:val="00"/>
    <w:family w:val="swiss"/>
    <w:pitch w:val="variable"/>
    <w:sig w:usb0="800000AF" w:usb1="4000604A" w:usb2="00000000" w:usb3="00000000" w:csb0="00000093" w:csb1="00000000"/>
    <w:embedRegular r:id="rId5" w:fontKey="{F5C44329-4C6F-4458-9EB0-3ADF4B3623CF}"/>
    <w:embedBold r:id="rId6" w:fontKey="{0E631BBE-B370-4DDF-AA24-A7C7B01979E0}"/>
    <w:embedItalic r:id="rId7" w:fontKey="{5430F23E-4092-4614-A802-D91617DD5484}"/>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0FF8" w14:textId="77777777" w:rsidR="00F621E5" w:rsidRDefault="00F621E5" w:rsidP="00AA6FF5">
      <w:r>
        <w:separator/>
      </w:r>
    </w:p>
  </w:footnote>
  <w:footnote w:type="continuationSeparator" w:id="0">
    <w:p w14:paraId="100400E7" w14:textId="77777777" w:rsidR="00F621E5" w:rsidRDefault="00F621E5" w:rsidP="00AA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D"/>
    <w:rsid w:val="000B0223"/>
    <w:rsid w:val="000B6C28"/>
    <w:rsid w:val="001368A9"/>
    <w:rsid w:val="0015405A"/>
    <w:rsid w:val="00154BAE"/>
    <w:rsid w:val="00223797"/>
    <w:rsid w:val="00233DB1"/>
    <w:rsid w:val="002F3F56"/>
    <w:rsid w:val="003C7E9F"/>
    <w:rsid w:val="00413F7F"/>
    <w:rsid w:val="00485941"/>
    <w:rsid w:val="004C466D"/>
    <w:rsid w:val="005918E5"/>
    <w:rsid w:val="005C27E4"/>
    <w:rsid w:val="00601D1C"/>
    <w:rsid w:val="006946D5"/>
    <w:rsid w:val="006D3506"/>
    <w:rsid w:val="00754804"/>
    <w:rsid w:val="007B7274"/>
    <w:rsid w:val="007E3E4D"/>
    <w:rsid w:val="008D5CE8"/>
    <w:rsid w:val="009E7402"/>
    <w:rsid w:val="00AA6FF5"/>
    <w:rsid w:val="00B1372E"/>
    <w:rsid w:val="00B274FF"/>
    <w:rsid w:val="00BB1A7C"/>
    <w:rsid w:val="00C010D9"/>
    <w:rsid w:val="00C47E13"/>
    <w:rsid w:val="00C56FD8"/>
    <w:rsid w:val="00C629B6"/>
    <w:rsid w:val="00CB74EC"/>
    <w:rsid w:val="00D42CEE"/>
    <w:rsid w:val="00DE124B"/>
    <w:rsid w:val="00E619BD"/>
    <w:rsid w:val="00E61A1B"/>
    <w:rsid w:val="00E72889"/>
    <w:rsid w:val="00F2740F"/>
    <w:rsid w:val="00F621E5"/>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F4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9BD"/>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A6FF5"/>
    <w:pPr>
      <w:tabs>
        <w:tab w:val="center" w:pos="4513"/>
        <w:tab w:val="right" w:pos="9026"/>
      </w:tabs>
    </w:pPr>
  </w:style>
  <w:style w:type="character" w:customStyle="1" w:styleId="HeaderChar">
    <w:name w:val="Header Char"/>
    <w:basedOn w:val="DefaultParagraphFont"/>
    <w:link w:val="Header"/>
    <w:uiPriority w:val="99"/>
    <w:rsid w:val="00AA6FF5"/>
    <w:rPr>
      <w:rFonts w:asciiTheme="minorHAnsi" w:hAnsiTheme="minorHAnsi"/>
      <w:kern w:val="2"/>
      <w:sz w:val="23"/>
      <w14:ligatures w14:val="standardContextual"/>
    </w:rPr>
  </w:style>
  <w:style w:type="paragraph" w:styleId="Footer">
    <w:name w:val="footer"/>
    <w:basedOn w:val="Normal"/>
    <w:link w:val="FooterChar"/>
    <w:uiPriority w:val="99"/>
    <w:unhideWhenUsed/>
    <w:rsid w:val="00AA6FF5"/>
    <w:pPr>
      <w:tabs>
        <w:tab w:val="center" w:pos="4513"/>
        <w:tab w:val="right" w:pos="9026"/>
      </w:tabs>
    </w:pPr>
  </w:style>
  <w:style w:type="character" w:customStyle="1" w:styleId="FooterChar">
    <w:name w:val="Footer Char"/>
    <w:basedOn w:val="DefaultParagraphFont"/>
    <w:link w:val="Footer"/>
    <w:uiPriority w:val="99"/>
    <w:rsid w:val="00AA6FF5"/>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2623</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2024-06-17T18:54:00Z</dcterms:created>
  <dcterms:modified xsi:type="dcterms:W3CDTF">2024-06-18T21:01:00Z</dcterms:modified>
</cp:coreProperties>
</file>